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rPr>
          <w:sz w:val="26"/>
          <w:szCs w:val="26"/>
        </w:rPr>
      </w:pPr>
      <w:bookmarkStart w:id="0" w:name="_Hlk66872487"/>
      <w:r>
        <w:rPr>
          <w:sz w:val="26"/>
          <w:szCs w:val="26"/>
        </w:rPr>
        <mc:AlternateContent>
          <mc:Choice Requires="wps">
            <w:drawing>
              <wp:anchor distT="0" distB="0" distL="114300" distR="114300" simplePos="0" relativeHeight="251659264" behindDoc="0" locked="0" layoutInCell="1" allowOverlap="1">
                <wp:simplePos x="0" y="0"/>
                <wp:positionH relativeFrom="column">
                  <wp:posOffset>864870</wp:posOffset>
                </wp:positionH>
                <wp:positionV relativeFrom="paragraph">
                  <wp:posOffset>3175</wp:posOffset>
                </wp:positionV>
                <wp:extent cx="2148205" cy="66929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147977" cy="66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b/>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68.1pt;margin-top:0.25pt;height:52.7pt;width:169.15pt;z-index:251659264;v-text-anchor:middle;mso-width-relative:page;mso-height-relative:page;" fillcolor="#FFFFFF [3201]" filled="t" stroked="f" coordsize="21600,21600" o:gfxdata="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oABs7VAAAACAEAAA8AAAAAAAAAAQAgAAAAIgAAAGRycy9kb3ducmV2LnhtbFBLAQIUABQA&#10;AAAIAIdO4kDohAfOLAIAAFAEAAAOAAAAAAAAAAEAIAAAACQBAABkcnMvZTJvRG9jLnhtbFBLBQYA&#10;AAAABgAGAFkBAADCBQAAAAA=&#10;">
                <v:fill on="t" focussize="0,0"/>
                <v:stroke on="f" weight="0.5pt"/>
                <v:imagedata o:title=""/>
                <o:lock v:ext="edit" aspectratio="f"/>
                <v:textbox>
                  <w:txbxContent>
                    <w:p>
                      <w:pPr>
                        <w:spacing w:line="360" w:lineRule="auto"/>
                        <w:jc w:val="center"/>
                        <w:rPr>
                          <w:b/>
                          <w:sz w:val="22"/>
                          <w:szCs w:val="22"/>
                        </w:rPr>
                      </w:pPr>
                    </w:p>
                  </w:txbxContent>
                </v:textbox>
              </v:shape>
            </w:pict>
          </mc:Fallback>
        </mc:AlternateContent>
      </w:r>
    </w:p>
    <w:p>
      <w:pPr>
        <w:spacing w:line="312" w:lineRule="auto"/>
        <w:jc w:val="center"/>
        <w:rPr>
          <w:b/>
          <w:sz w:val="26"/>
          <w:szCs w:val="26"/>
        </w:rPr>
      </w:pPr>
    </w:p>
    <w:p>
      <w:pPr>
        <w:spacing w:line="312" w:lineRule="auto"/>
        <w:jc w:val="center"/>
        <w:rPr>
          <w:b/>
          <w:sz w:val="26"/>
          <w:szCs w:val="26"/>
        </w:rPr>
      </w:pPr>
    </w:p>
    <w:bookmarkEnd w:id="0"/>
    <w:p>
      <w:pPr>
        <w:spacing w:line="312" w:lineRule="auto"/>
        <w:jc w:val="center"/>
        <w:rPr>
          <w:b/>
          <w:sz w:val="26"/>
          <w:szCs w:val="26"/>
          <w:lang w:val="vi-VN"/>
        </w:rPr>
      </w:pPr>
      <w:bookmarkStart w:id="1" w:name="_Hlk17893802"/>
      <w:r>
        <w:rPr>
          <w:b/>
          <w:sz w:val="26"/>
          <w:szCs w:val="26"/>
          <w:lang w:val="vi-VN"/>
        </w:rPr>
        <w:t xml:space="preserve">TRƯỜNG ĐẠI HỌC QUỐC TẾ CÔNG BỐ ĐIỂM CHUẨN TRÚNG TUYỂN VÀO CÁC NGÀNH ĐÀO TẠO THEO PHƯƠNG THỨC XÉT TUYỂN </w:t>
      </w:r>
    </w:p>
    <w:p>
      <w:pPr>
        <w:spacing w:line="312" w:lineRule="auto"/>
        <w:jc w:val="center"/>
        <w:rPr>
          <w:b/>
          <w:sz w:val="26"/>
          <w:szCs w:val="26"/>
          <w:lang w:val="vi-VN"/>
        </w:rPr>
      </w:pPr>
      <w:r>
        <w:rPr>
          <w:b/>
          <w:sz w:val="26"/>
          <w:szCs w:val="26"/>
          <w:lang w:val="vi-VN"/>
        </w:rPr>
        <w:t>DỰA TRÊN KẾT QUẢ KÝ THI TỐT NGHIỆP THPT NĂM 2022</w:t>
      </w:r>
    </w:p>
    <w:p>
      <w:pPr>
        <w:spacing w:line="312" w:lineRule="auto"/>
        <w:jc w:val="center"/>
        <w:rPr>
          <w:b/>
          <w:sz w:val="26"/>
          <w:szCs w:val="26"/>
          <w:lang w:val="vi-VN"/>
        </w:rPr>
      </w:pPr>
    </w:p>
    <w:p>
      <w:pPr>
        <w:spacing w:line="312" w:lineRule="auto"/>
        <w:rPr>
          <w:sz w:val="26"/>
          <w:szCs w:val="26"/>
        </w:rPr>
      </w:pPr>
      <w:r>
        <w:rPr>
          <w:sz w:val="26"/>
          <w:szCs w:val="26"/>
        </w:rPr>
        <w:t xml:space="preserve">Kết quả họp xét tuyển từ Hội đồng tuyển sinh của trường ĐHQT đã công bố điểm chuẩn các ngành theo phương thức </w:t>
      </w:r>
      <w:r>
        <w:rPr>
          <w:bCs/>
          <w:sz w:val="26"/>
          <w:szCs w:val="26"/>
        </w:rPr>
        <w:t xml:space="preserve">tuyển sinh </w:t>
      </w:r>
      <w:r>
        <w:rPr>
          <w:bCs/>
          <w:sz w:val="26"/>
          <w:szCs w:val="26"/>
          <w:lang w:val="vi-VN"/>
        </w:rPr>
        <w:t>1</w:t>
      </w:r>
      <w:r>
        <w:rPr>
          <w:bCs/>
          <w:sz w:val="26"/>
          <w:szCs w:val="26"/>
        </w:rPr>
        <w:t>:</w:t>
      </w:r>
      <w:r>
        <w:rPr>
          <w:b/>
          <w:bCs/>
          <w:sz w:val="26"/>
          <w:szCs w:val="26"/>
        </w:rPr>
        <w:t xml:space="preserve"> </w:t>
      </w:r>
      <w:r>
        <w:rPr>
          <w:b/>
          <w:i/>
          <w:sz w:val="26"/>
          <w:szCs w:val="26"/>
          <w:lang w:val="vi-VN"/>
        </w:rPr>
        <w:t xml:space="preserve">thức xét tuyển dựa trên kết quả kỳ thi Tốt nghiệp THPT năm 2022. </w:t>
      </w:r>
      <w:r>
        <w:rPr>
          <w:b/>
          <w:bCs/>
          <w:sz w:val="26"/>
          <w:szCs w:val="26"/>
        </w:rPr>
        <w:t xml:space="preserve"> </w:t>
      </w:r>
      <w:r>
        <w:rPr>
          <w:bCs/>
          <w:sz w:val="26"/>
          <w:szCs w:val="26"/>
        </w:rPr>
        <w:t xml:space="preserve">Theo đó, phương thức này chiếm </w:t>
      </w:r>
      <w:r>
        <w:rPr>
          <w:bCs/>
          <w:sz w:val="26"/>
          <w:szCs w:val="26"/>
          <w:lang w:val="vi-VN"/>
        </w:rPr>
        <w:t>50-80</w:t>
      </w:r>
      <w:r>
        <w:rPr>
          <w:bCs/>
          <w:sz w:val="26"/>
          <w:szCs w:val="26"/>
        </w:rPr>
        <w:t>% tổng chỉ tiêu, sử dụng kết quả thi</w:t>
      </w:r>
      <w:r>
        <w:rPr>
          <w:bCs/>
          <w:sz w:val="26"/>
          <w:szCs w:val="26"/>
          <w:lang w:val="vi-VN"/>
        </w:rPr>
        <w:t xml:space="preserve"> Tốt nghiệp THPT năm 2022</w:t>
      </w:r>
      <w:r>
        <w:rPr>
          <w:bCs/>
          <w:sz w:val="26"/>
          <w:szCs w:val="26"/>
        </w:rPr>
        <w:t xml:space="preserve"> của thí sinh. </w:t>
      </w:r>
      <w:r>
        <w:rPr>
          <w:sz w:val="26"/>
          <w:szCs w:val="26"/>
        </w:rPr>
        <w:t xml:space="preserve">Cụ thể, điểm chuẩn phương thức </w:t>
      </w:r>
      <w:r>
        <w:rPr>
          <w:sz w:val="26"/>
          <w:szCs w:val="26"/>
          <w:lang w:val="vi-VN"/>
        </w:rPr>
        <w:t>1</w:t>
      </w:r>
      <w:r>
        <w:rPr>
          <w:sz w:val="26"/>
          <w:szCs w:val="26"/>
        </w:rPr>
        <w:t xml:space="preserve"> như sau: </w:t>
      </w:r>
    </w:p>
    <w:p>
      <w:pPr>
        <w:spacing w:line="312" w:lineRule="auto"/>
        <w:rPr>
          <w:sz w:val="26"/>
          <w:szCs w:val="26"/>
        </w:rPr>
      </w:pPr>
    </w:p>
    <w:tbl>
      <w:tblPr>
        <w:tblStyle w:val="7"/>
        <w:tblW w:w="9378" w:type="dxa"/>
        <w:tblInd w:w="0" w:type="dxa"/>
        <w:tblLayout w:type="fixed"/>
        <w:tblCellMar>
          <w:top w:w="0" w:type="dxa"/>
          <w:left w:w="0" w:type="dxa"/>
          <w:bottom w:w="0" w:type="dxa"/>
          <w:right w:w="0" w:type="dxa"/>
        </w:tblCellMar>
      </w:tblPr>
      <w:tblGrid>
        <w:gridCol w:w="792"/>
        <w:gridCol w:w="1976"/>
        <w:gridCol w:w="2871"/>
        <w:gridCol w:w="2351"/>
        <w:gridCol w:w="1388"/>
      </w:tblGrid>
      <w:tr>
        <w:tblPrEx>
          <w:tblLayout w:type="fixed"/>
          <w:tblCellMar>
            <w:top w:w="0" w:type="dxa"/>
            <w:left w:w="0" w:type="dxa"/>
            <w:bottom w:w="0" w:type="dxa"/>
            <w:right w:w="0" w:type="dxa"/>
          </w:tblCellMar>
        </w:tblPrEx>
        <w:trPr>
          <w:tblHeader/>
        </w:trPr>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b/>
                <w:bCs/>
                <w:sz w:val="26"/>
                <w:szCs w:val="26"/>
              </w:rPr>
              <w:t>STT</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b/>
                <w:bCs/>
                <w:sz w:val="26"/>
                <w:szCs w:val="26"/>
              </w:rPr>
              <w:t>Mã ngành</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b/>
                <w:bCs/>
                <w:sz w:val="26"/>
                <w:szCs w:val="26"/>
              </w:rPr>
              <w:t>Tên ngành</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b/>
                <w:bCs/>
                <w:sz w:val="26"/>
                <w:szCs w:val="26"/>
              </w:rPr>
              <w:t>Các tổ hợp xét tuyển</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b/>
                <w:bCs/>
                <w:sz w:val="26"/>
                <w:szCs w:val="26"/>
              </w:rPr>
              <w:t>Mức điểm cho tất cả các tổ hợp</w:t>
            </w:r>
          </w:p>
          <w:p>
            <w:pPr>
              <w:spacing w:line="312" w:lineRule="auto"/>
              <w:textAlignment w:val="baseline"/>
              <w:rPr>
                <w:sz w:val="26"/>
                <w:szCs w:val="26"/>
              </w:rPr>
            </w:pPr>
            <w:r>
              <w:rPr>
                <w:i/>
                <w:iCs/>
                <w:sz w:val="26"/>
                <w:szCs w:val="26"/>
              </w:rPr>
              <w:t>(theo thang điểm 30)</w:t>
            </w:r>
          </w:p>
        </w:tc>
      </w:tr>
      <w:tr>
        <w:tblPrEx>
          <w:tblLayout w:type="fixed"/>
          <w:tblCellMar>
            <w:top w:w="0" w:type="dxa"/>
            <w:left w:w="0" w:type="dxa"/>
            <w:bottom w:w="0" w:type="dxa"/>
            <w:right w:w="0" w:type="dxa"/>
          </w:tblCellMar>
        </w:tblPrEx>
        <w:tc>
          <w:tcPr>
            <w:tcW w:w="9378" w:type="dxa"/>
            <w:gridSpan w:val="5"/>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b/>
                <w:bCs/>
                <w:sz w:val="26"/>
                <w:szCs w:val="26"/>
              </w:rPr>
              <w:t>Các ngành đào tạo chương trình do trường Đại học Quốc tế cấp bằng</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1</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7220201</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Ngôn ngữ Anh</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D01, D09, D14, D15</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b/>
                <w:bCs/>
                <w:sz w:val="26"/>
                <w:szCs w:val="26"/>
              </w:rPr>
            </w:pPr>
            <w:r>
              <w:rPr>
                <w:b/>
                <w:bCs/>
                <w:sz w:val="26"/>
                <w:szCs w:val="26"/>
              </w:rPr>
              <w:t>25</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2</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7340101</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Quản trị kinh doanh</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23</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3</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7340201</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Tài chính – Ngân hàng</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22</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4</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7340301</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Kế toán</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22</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5</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7420201</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sinh học</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B00, B08,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20</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6</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7440112</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Hóa học (Hóa sinh)</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B00, B08,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7540101</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thực phẩm</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B00,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20</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8</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7520301</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hóa học</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B00,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20</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9</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7460112</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Toán ứng dụng (Kỹ thuật tài chính và Quản trị rủi ro)</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20</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10</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7480101</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Khoa học máy tính</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A00, A01</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b/>
                <w:bCs/>
                <w:sz w:val="26"/>
                <w:szCs w:val="26"/>
              </w:rPr>
            </w:pPr>
            <w:r>
              <w:rPr>
                <w:b/>
                <w:bCs/>
                <w:sz w:val="26"/>
                <w:szCs w:val="26"/>
              </w:rPr>
              <w:t>25</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11</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7460108</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Khoa học dữ liệu</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A00, A01</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b/>
                <w:bCs/>
                <w:sz w:val="26"/>
                <w:szCs w:val="26"/>
              </w:rPr>
            </w:pPr>
            <w:r>
              <w:rPr>
                <w:b/>
                <w:bCs/>
                <w:sz w:val="26"/>
                <w:szCs w:val="26"/>
              </w:rPr>
              <w:t>26</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12</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7480201</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Công nghệ thông tin</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A00, A01</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b/>
                <w:bCs/>
                <w:sz w:val="26"/>
                <w:szCs w:val="26"/>
              </w:rPr>
            </w:pPr>
            <w:r>
              <w:rPr>
                <w:b/>
                <w:bCs/>
                <w:sz w:val="26"/>
                <w:szCs w:val="26"/>
              </w:rPr>
              <w:t>27.5</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13</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7510605</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Logistics và Quản lý chuỗi cung ứng</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b/>
                <w:bCs/>
                <w:sz w:val="26"/>
                <w:szCs w:val="26"/>
              </w:rPr>
            </w:pPr>
            <w:r>
              <w:rPr>
                <w:b/>
                <w:bCs/>
                <w:sz w:val="26"/>
                <w:szCs w:val="26"/>
              </w:rPr>
              <w:t>A00, A01, D01</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b/>
                <w:bCs/>
                <w:sz w:val="26"/>
                <w:szCs w:val="26"/>
              </w:rPr>
            </w:pPr>
            <w:r>
              <w:rPr>
                <w:b/>
                <w:bCs/>
                <w:sz w:val="26"/>
                <w:szCs w:val="26"/>
              </w:rPr>
              <w:t>25</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14</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7520118</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hệ thống công nghiệp</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20</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15</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7520212</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y sinh</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B00, B08,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22</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16</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7520121</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không gian</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A02, D90</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21</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17</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7520320</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môi trường</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A02, B00,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18</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7520207</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điện tử – viễn thông</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B00, D01</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21</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19</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7520216</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điều khiển và tự động hóa</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B00, D01</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21.5</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20</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7580201</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xây dựng</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20</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21</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7580302</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Quản lý xây dựng</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20</w:t>
            </w:r>
          </w:p>
        </w:tc>
      </w:tr>
      <w:tr>
        <w:tblPrEx>
          <w:tblLayout w:type="fixed"/>
          <w:tblCellMar>
            <w:top w:w="0" w:type="dxa"/>
            <w:left w:w="0" w:type="dxa"/>
            <w:bottom w:w="0" w:type="dxa"/>
            <w:right w:w="0" w:type="dxa"/>
          </w:tblCellMar>
        </w:tblPrEx>
        <w:tc>
          <w:tcPr>
            <w:tcW w:w="9378" w:type="dxa"/>
            <w:gridSpan w:val="5"/>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b/>
                <w:bCs/>
                <w:sz w:val="26"/>
                <w:szCs w:val="26"/>
              </w:rPr>
              <w:t>Các ngành đào tạo chương trình liên kết (CTLK) với Đại học (ĐH) nước ngoài</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22</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7220201_WE2</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Ngôn ngữ Anh (CTLK với ĐH West of England)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D01, D09, D14, D15</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23</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7220201_WE3</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Ngôn ngữ Anh (CTLK với ĐH West of England) (3+1)</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D01, D09, D14, D15</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24</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7220201_WE4</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Ngôn ngữ Anh (CTLK với ĐH West of England) (4+0)</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D01, D09, D14, D15</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25</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7340101_AU</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Quản trị kinh doanh (CTLK với ĐH Công nghệ Auckland)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16</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26</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7340101_NS</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Quản trị kinh doanh (CTLK với ĐH New South Wales)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16</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27</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7340101_UH</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Quản trị kinh doanh (CTLK với ĐH Houston)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16</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28</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7340101_UN</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Quản trị kinh doanh (CTLK với ĐH Nottingham)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16</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29</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7340101_WE</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Quản trị kinh doanh (CTLK với ĐH West of England)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16</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30</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7340101_WE4</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Quản trị kinh doanh (CTLK với ĐH West of England) (4+0)</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16</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31</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7340101_AND</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Quản trị Kinh doanh (Đại học Andrews, Hoa Kỳ) (4+0)</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16</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32</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7420201_UN</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sinh học (CTLK với ĐH Nottingham)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B00, B08,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33</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7420201_WE2</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sinh học (CTLK với ĐH West of England)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B00, B08,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34</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7420201_WE4</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sinh học định hướng Y Sinh (CTLK với ĐH West of England) (4+0)</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B00, B08, D07</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35</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7540101_UN</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thực phẩm (CTLK với ĐH Nottingham)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B00, D07</w:t>
            </w:r>
          </w:p>
          <w:p>
            <w:pPr>
              <w:spacing w:after="225" w:line="312" w:lineRule="auto"/>
              <w:textAlignment w:val="baseline"/>
              <w:rPr>
                <w:sz w:val="26"/>
                <w:szCs w:val="26"/>
              </w:rPr>
            </w:pPr>
            <w:r>
              <w:rPr>
                <w:sz w:val="26"/>
                <w:szCs w:val="26"/>
              </w:rPr>
              <w:t> </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36</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7480106_SB</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máy tính (CTLK với ĐH Suny Binghamton)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w:t>
            </w:r>
          </w:p>
          <w:p>
            <w:pPr>
              <w:spacing w:after="225" w:line="312" w:lineRule="auto"/>
              <w:textAlignment w:val="baseline"/>
              <w:rPr>
                <w:sz w:val="26"/>
                <w:szCs w:val="26"/>
              </w:rPr>
            </w:pPr>
            <w:r>
              <w:rPr>
                <w:sz w:val="26"/>
                <w:szCs w:val="26"/>
              </w:rPr>
              <w:t> </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37</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7480201_DK2</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thông tin (CTLK với ĐH Deakin)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w:t>
            </w:r>
          </w:p>
          <w:p>
            <w:pPr>
              <w:spacing w:after="225" w:line="312" w:lineRule="auto"/>
              <w:textAlignment w:val="baseline"/>
              <w:rPr>
                <w:sz w:val="26"/>
                <w:szCs w:val="26"/>
              </w:rPr>
            </w:pPr>
            <w:r>
              <w:rPr>
                <w:sz w:val="26"/>
                <w:szCs w:val="26"/>
              </w:rPr>
              <w:t> </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38</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7480201_DK25</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thông tin (CTLK với ĐH Deakin) (2.5+1.5)</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w:t>
            </w:r>
          </w:p>
          <w:p>
            <w:pPr>
              <w:spacing w:after="225" w:line="312" w:lineRule="auto"/>
              <w:textAlignment w:val="baseline"/>
              <w:rPr>
                <w:sz w:val="26"/>
                <w:szCs w:val="26"/>
              </w:rPr>
            </w:pPr>
            <w:r>
              <w:rPr>
                <w:sz w:val="26"/>
                <w:szCs w:val="26"/>
              </w:rPr>
              <w:t> </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39</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7480201_DK3</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thông tin (CTLK với ĐH Deakin) (3+1)</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w:t>
            </w:r>
          </w:p>
          <w:p>
            <w:pPr>
              <w:spacing w:after="225" w:line="312" w:lineRule="auto"/>
              <w:textAlignment w:val="baseline"/>
              <w:rPr>
                <w:sz w:val="26"/>
                <w:szCs w:val="26"/>
              </w:rPr>
            </w:pPr>
            <w:r>
              <w:rPr>
                <w:sz w:val="26"/>
                <w:szCs w:val="26"/>
              </w:rPr>
              <w:t> </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40</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7480201_UN</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thông tin (CTLK với ĐH Nottingham)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w:t>
            </w:r>
          </w:p>
          <w:p>
            <w:pPr>
              <w:spacing w:after="225" w:line="312" w:lineRule="auto"/>
              <w:textAlignment w:val="baseline"/>
              <w:rPr>
                <w:sz w:val="26"/>
                <w:szCs w:val="26"/>
              </w:rPr>
            </w:pPr>
            <w:r>
              <w:rPr>
                <w:sz w:val="26"/>
                <w:szCs w:val="26"/>
              </w:rPr>
              <w:t> </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41</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7480201_WE2</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thông tin (CTLK với ĐH West of England)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w:t>
            </w:r>
          </w:p>
          <w:p>
            <w:pPr>
              <w:spacing w:after="225" w:line="312" w:lineRule="auto"/>
              <w:textAlignment w:val="baseline"/>
              <w:rPr>
                <w:sz w:val="26"/>
                <w:szCs w:val="26"/>
              </w:rPr>
            </w:pPr>
            <w:r>
              <w:rPr>
                <w:sz w:val="26"/>
                <w:szCs w:val="26"/>
              </w:rPr>
              <w:t> </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42</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7480201_WE4</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thông tin (CTLK với ĐH West of England) (4+0)</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w:t>
            </w:r>
          </w:p>
          <w:p>
            <w:pPr>
              <w:spacing w:after="225" w:line="312" w:lineRule="auto"/>
              <w:textAlignment w:val="baseline"/>
              <w:rPr>
                <w:sz w:val="26"/>
                <w:szCs w:val="26"/>
              </w:rPr>
            </w:pPr>
            <w:r>
              <w:rPr>
                <w:sz w:val="26"/>
                <w:szCs w:val="26"/>
              </w:rPr>
              <w:t> </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43</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7480201_TUR</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Công nghệ Thông tin 2+1 (chuyên ngành Quản lý An ninh mạng, ĐH Turku, Phần Lan)</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w:t>
            </w:r>
          </w:p>
          <w:p>
            <w:pPr>
              <w:spacing w:after="225" w:line="312" w:lineRule="auto"/>
              <w:textAlignment w:val="baseline"/>
              <w:rPr>
                <w:sz w:val="26"/>
                <w:szCs w:val="26"/>
              </w:rPr>
            </w:pPr>
            <w:r>
              <w:rPr>
                <w:sz w:val="26"/>
                <w:szCs w:val="26"/>
              </w:rPr>
              <w:t> </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44</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7520118_SB</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hệ thống công nghiệp (CTLK với ĐH Suny Binghamton)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D01</w:t>
            </w:r>
          </w:p>
          <w:p>
            <w:pPr>
              <w:spacing w:after="225" w:line="312" w:lineRule="auto"/>
              <w:textAlignment w:val="baseline"/>
              <w:rPr>
                <w:sz w:val="26"/>
                <w:szCs w:val="26"/>
              </w:rPr>
            </w:pPr>
            <w:r>
              <w:rPr>
                <w:sz w:val="26"/>
                <w:szCs w:val="26"/>
              </w:rPr>
              <w:t> </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45</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7520207_SB</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điện tử (CTLK với ĐH Suny Binghamton)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B00, D01</w:t>
            </w:r>
          </w:p>
          <w:p>
            <w:pPr>
              <w:spacing w:after="225" w:line="312" w:lineRule="auto"/>
              <w:textAlignment w:val="baseline"/>
              <w:rPr>
                <w:sz w:val="26"/>
                <w:szCs w:val="26"/>
              </w:rPr>
            </w:pPr>
            <w:r>
              <w:rPr>
                <w:sz w:val="26"/>
                <w:szCs w:val="26"/>
              </w:rPr>
              <w:t> </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46</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7520207_UN</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điện tử – viễn thông (CTLK với ĐH Nottingham)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B00, D01</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r>
        <w:tblPrEx>
          <w:tblLayout w:type="fixed"/>
          <w:tblCellMar>
            <w:top w:w="0" w:type="dxa"/>
            <w:left w:w="0" w:type="dxa"/>
            <w:bottom w:w="0" w:type="dxa"/>
            <w:right w:w="0" w:type="dxa"/>
          </w:tblCellMar>
        </w:tblPrEx>
        <w:tc>
          <w:tcPr>
            <w:tcW w:w="792"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47</w:t>
            </w:r>
          </w:p>
        </w:tc>
        <w:tc>
          <w:tcPr>
            <w:tcW w:w="1976"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7520207_WE</w:t>
            </w:r>
          </w:p>
        </w:tc>
        <w:tc>
          <w:tcPr>
            <w:tcW w:w="287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Kỹ thuật điện tử – viễn thông (CTLK với ĐH West of England) (2+2)</w:t>
            </w:r>
          </w:p>
        </w:tc>
        <w:tc>
          <w:tcPr>
            <w:tcW w:w="2351"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line="312" w:lineRule="auto"/>
              <w:rPr>
                <w:sz w:val="26"/>
                <w:szCs w:val="26"/>
              </w:rPr>
            </w:pPr>
            <w:r>
              <w:rPr>
                <w:sz w:val="26"/>
                <w:szCs w:val="26"/>
              </w:rPr>
              <w:t>A00, A01, B00, D01</w:t>
            </w:r>
          </w:p>
        </w:tc>
        <w:tc>
          <w:tcPr>
            <w:tcW w:w="1388" w:type="dxa"/>
            <w:tcBorders>
              <w:top w:val="single" w:color="000000" w:sz="6" w:space="0"/>
              <w:left w:val="single" w:color="000000" w:sz="6" w:space="0"/>
              <w:bottom w:val="single" w:color="000000" w:sz="6" w:space="0"/>
              <w:right w:val="single" w:color="000000" w:sz="6" w:space="0"/>
            </w:tcBorders>
            <w:tcMar>
              <w:top w:w="90" w:type="dxa"/>
              <w:left w:w="150" w:type="dxa"/>
              <w:bottom w:w="90" w:type="dxa"/>
              <w:right w:w="150" w:type="dxa"/>
            </w:tcMar>
            <w:vAlign w:val="bottom"/>
          </w:tcPr>
          <w:p>
            <w:pPr>
              <w:spacing w:after="225" w:line="312" w:lineRule="auto"/>
              <w:jc w:val="center"/>
              <w:textAlignment w:val="baseline"/>
              <w:rPr>
                <w:sz w:val="26"/>
                <w:szCs w:val="26"/>
              </w:rPr>
            </w:pPr>
            <w:r>
              <w:rPr>
                <w:sz w:val="26"/>
                <w:szCs w:val="26"/>
              </w:rPr>
              <w:t>18</w:t>
            </w:r>
          </w:p>
        </w:tc>
      </w:tr>
    </w:tbl>
    <w:p>
      <w:pPr>
        <w:spacing w:line="312" w:lineRule="auto"/>
        <w:rPr>
          <w:sz w:val="26"/>
          <w:szCs w:val="26"/>
        </w:rPr>
      </w:pPr>
    </w:p>
    <w:p>
      <w:pPr>
        <w:shd w:val="clear" w:color="auto" w:fill="F1F2F2"/>
        <w:spacing w:line="312" w:lineRule="auto"/>
        <w:textAlignment w:val="baseline"/>
        <w:rPr>
          <w:color w:val="333333"/>
          <w:sz w:val="26"/>
          <w:szCs w:val="26"/>
        </w:rPr>
      </w:pPr>
      <w:r>
        <w:rPr>
          <w:rStyle w:val="6"/>
          <w:color w:val="333333"/>
          <w:sz w:val="26"/>
          <w:szCs w:val="26"/>
        </w:rPr>
        <w:t>Nguyên tắc xét tuyển:</w:t>
      </w:r>
    </w:p>
    <w:p>
      <w:pPr>
        <w:pStyle w:val="3"/>
        <w:shd w:val="clear" w:color="auto" w:fill="F1F2F2"/>
        <w:spacing w:before="0" w:beforeAutospacing="0" w:after="225" w:afterAutospacing="0" w:line="312" w:lineRule="auto"/>
        <w:textAlignment w:val="baseline"/>
        <w:rPr>
          <w:color w:val="333333"/>
          <w:sz w:val="26"/>
          <w:szCs w:val="26"/>
        </w:rPr>
      </w:pPr>
      <w:r>
        <w:rPr>
          <w:color w:val="333333"/>
          <w:sz w:val="26"/>
          <w:szCs w:val="26"/>
        </w:rPr>
        <w:t>+ Xét tổng điểm của 03 môn thi trong kỳ thi tốt nghiệp THPT 2022 theo tổ hợp xét tuyển do thí sinh đăng ký.</w:t>
      </w:r>
    </w:p>
    <w:p>
      <w:pPr>
        <w:pStyle w:val="3"/>
        <w:shd w:val="clear" w:color="auto" w:fill="F1F2F2"/>
        <w:spacing w:before="0" w:beforeAutospacing="0" w:after="225" w:afterAutospacing="0" w:line="312" w:lineRule="auto"/>
        <w:textAlignment w:val="baseline"/>
        <w:rPr>
          <w:color w:val="333333"/>
          <w:sz w:val="26"/>
          <w:szCs w:val="26"/>
        </w:rPr>
      </w:pPr>
      <w:r>
        <w:rPr>
          <w:color w:val="333333"/>
          <w:sz w:val="26"/>
          <w:szCs w:val="26"/>
        </w:rPr>
        <w:t>+ Thí sinh đăng ký nguyện vọng vào các ngành của trường Đại học Quốc tế không giới hạn số lượng. Thí sinh chỉ trúng tuyển vào 01 nguyện vọng ưu tiên cao nhất trong danh sách các nguyện vọng đã đăng ký.</w:t>
      </w:r>
    </w:p>
    <w:p>
      <w:pPr>
        <w:pStyle w:val="3"/>
        <w:shd w:val="clear" w:color="auto" w:fill="F1F2F2"/>
        <w:spacing w:before="0" w:beforeAutospacing="0" w:after="225" w:afterAutospacing="0" w:line="312" w:lineRule="auto"/>
        <w:textAlignment w:val="baseline"/>
        <w:rPr>
          <w:color w:val="333333"/>
          <w:sz w:val="26"/>
          <w:szCs w:val="26"/>
        </w:rPr>
      </w:pPr>
      <w:r>
        <w:rPr>
          <w:color w:val="333333"/>
          <w:sz w:val="26"/>
          <w:szCs w:val="26"/>
        </w:rPr>
        <w:t>+ Đối với thí sinh đăng ký tổ hợp xét tuyển có môn Tiếng Anh, nếu thí sinh có chứng chỉ Tiếng Anh IELTS Academic hoặc TOEFL iBT thì được quy đổi điểm trung bình môn Tiếng Anh trong tổ hợp xét tuyển như sau:</w:t>
      </w:r>
    </w:p>
    <w:tbl>
      <w:tblPr>
        <w:tblStyle w:val="7"/>
        <w:tblW w:w="9138" w:type="dxa"/>
        <w:tblInd w:w="600" w:type="dxa"/>
        <w:shd w:val="clear" w:color="auto" w:fill="F1F2F2"/>
        <w:tblLayout w:type="fixed"/>
        <w:tblCellMar>
          <w:top w:w="0" w:type="dxa"/>
          <w:left w:w="0" w:type="dxa"/>
          <w:bottom w:w="0" w:type="dxa"/>
          <w:right w:w="0" w:type="dxa"/>
        </w:tblCellMar>
      </w:tblPr>
      <w:tblGrid>
        <w:gridCol w:w="3742"/>
        <w:gridCol w:w="3169"/>
        <w:gridCol w:w="2227"/>
      </w:tblGrid>
      <w:tr>
        <w:tblPrEx>
          <w:shd w:val="clear" w:color="auto" w:fill="F1F2F2"/>
          <w:tblLayout w:type="fixed"/>
          <w:tblCellMar>
            <w:top w:w="0" w:type="dxa"/>
            <w:left w:w="0" w:type="dxa"/>
            <w:bottom w:w="0" w:type="dxa"/>
            <w:right w:w="0" w:type="dxa"/>
          </w:tblCellMar>
        </w:tblPrEx>
        <w:tc>
          <w:tcPr>
            <w:tcW w:w="3742" w:type="dxa"/>
            <w:tcBorders>
              <w:top w:val="single" w:color="000000" w:sz="6" w:space="0"/>
              <w:left w:val="single" w:color="000000" w:sz="6" w:space="0"/>
              <w:bottom w:val="single" w:color="000000" w:sz="6" w:space="0"/>
              <w:right w:val="single" w:color="000000" w:sz="6" w:space="0"/>
            </w:tcBorders>
            <w:shd w:val="clear" w:color="auto" w:fill="F1F2F2"/>
            <w:tcMar>
              <w:top w:w="90" w:type="dxa"/>
              <w:left w:w="600" w:type="dxa"/>
              <w:bottom w:w="90" w:type="dxa"/>
              <w:right w:w="150" w:type="dxa"/>
            </w:tcMar>
            <w:vAlign w:val="bottom"/>
          </w:tcPr>
          <w:p>
            <w:pPr>
              <w:spacing w:line="312" w:lineRule="auto"/>
              <w:rPr>
                <w:color w:val="333333"/>
                <w:sz w:val="26"/>
                <w:szCs w:val="26"/>
              </w:rPr>
            </w:pPr>
            <w:r>
              <w:rPr>
                <w:rStyle w:val="6"/>
                <w:color w:val="333333"/>
                <w:sz w:val="26"/>
                <w:szCs w:val="26"/>
              </w:rPr>
              <w:t>Chứng chỉ IELTS Academic</w:t>
            </w:r>
          </w:p>
        </w:tc>
        <w:tc>
          <w:tcPr>
            <w:tcW w:w="3169"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rStyle w:val="6"/>
                <w:color w:val="333333"/>
                <w:sz w:val="26"/>
                <w:szCs w:val="26"/>
              </w:rPr>
              <w:t>Chứng chỉ TOEFL iBT</w:t>
            </w:r>
          </w:p>
        </w:tc>
        <w:tc>
          <w:tcPr>
            <w:tcW w:w="2227"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rStyle w:val="6"/>
                <w:color w:val="333333"/>
                <w:sz w:val="26"/>
                <w:szCs w:val="26"/>
              </w:rPr>
              <w:t>Điểm quy đổi</w:t>
            </w:r>
          </w:p>
        </w:tc>
      </w:tr>
      <w:tr>
        <w:tblPrEx>
          <w:tblLayout w:type="fixed"/>
          <w:tblCellMar>
            <w:top w:w="0" w:type="dxa"/>
            <w:left w:w="0" w:type="dxa"/>
            <w:bottom w:w="0" w:type="dxa"/>
            <w:right w:w="0" w:type="dxa"/>
          </w:tblCellMar>
        </w:tblPrEx>
        <w:tc>
          <w:tcPr>
            <w:tcW w:w="3742"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 6.0</w:t>
            </w:r>
          </w:p>
        </w:tc>
        <w:tc>
          <w:tcPr>
            <w:tcW w:w="3169"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60 – 78</w:t>
            </w:r>
          </w:p>
        </w:tc>
        <w:tc>
          <w:tcPr>
            <w:tcW w:w="2227"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10</w:t>
            </w:r>
          </w:p>
        </w:tc>
      </w:tr>
      <w:tr>
        <w:tblPrEx>
          <w:tblLayout w:type="fixed"/>
          <w:tblCellMar>
            <w:top w:w="0" w:type="dxa"/>
            <w:left w:w="0" w:type="dxa"/>
            <w:bottom w:w="0" w:type="dxa"/>
            <w:right w:w="0" w:type="dxa"/>
          </w:tblCellMar>
        </w:tblPrEx>
        <w:tc>
          <w:tcPr>
            <w:tcW w:w="3742"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5.5</w:t>
            </w:r>
          </w:p>
        </w:tc>
        <w:tc>
          <w:tcPr>
            <w:tcW w:w="3169"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46 – 59</w:t>
            </w:r>
          </w:p>
        </w:tc>
        <w:tc>
          <w:tcPr>
            <w:tcW w:w="2227"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8,5</w:t>
            </w:r>
          </w:p>
        </w:tc>
      </w:tr>
      <w:tr>
        <w:tblPrEx>
          <w:tblLayout w:type="fixed"/>
          <w:tblCellMar>
            <w:top w:w="0" w:type="dxa"/>
            <w:left w:w="0" w:type="dxa"/>
            <w:bottom w:w="0" w:type="dxa"/>
            <w:right w:w="0" w:type="dxa"/>
          </w:tblCellMar>
        </w:tblPrEx>
        <w:tc>
          <w:tcPr>
            <w:tcW w:w="3742"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5.0</w:t>
            </w:r>
          </w:p>
        </w:tc>
        <w:tc>
          <w:tcPr>
            <w:tcW w:w="3169"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35 – 45</w:t>
            </w:r>
          </w:p>
        </w:tc>
        <w:tc>
          <w:tcPr>
            <w:tcW w:w="2227"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7,5</w:t>
            </w:r>
          </w:p>
        </w:tc>
      </w:tr>
      <w:tr>
        <w:tblPrEx>
          <w:tblLayout w:type="fixed"/>
          <w:tblCellMar>
            <w:top w:w="0" w:type="dxa"/>
            <w:left w:w="0" w:type="dxa"/>
            <w:bottom w:w="0" w:type="dxa"/>
            <w:right w:w="0" w:type="dxa"/>
          </w:tblCellMar>
        </w:tblPrEx>
        <w:tc>
          <w:tcPr>
            <w:tcW w:w="3742"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 4.5</w:t>
            </w:r>
          </w:p>
        </w:tc>
        <w:tc>
          <w:tcPr>
            <w:tcW w:w="3169"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 </w:t>
            </w:r>
          </w:p>
        </w:tc>
        <w:tc>
          <w:tcPr>
            <w:tcW w:w="2227" w:type="dxa"/>
            <w:tcBorders>
              <w:top w:val="single" w:color="000000" w:sz="6" w:space="0"/>
              <w:left w:val="single" w:color="000000" w:sz="6" w:space="0"/>
              <w:bottom w:val="single" w:color="000000" w:sz="6" w:space="0"/>
              <w:right w:val="single" w:color="000000" w:sz="6" w:space="0"/>
            </w:tcBorders>
            <w:shd w:val="clear" w:color="auto" w:fill="F1F2F2"/>
            <w:tcMar>
              <w:top w:w="90" w:type="dxa"/>
              <w:left w:w="150" w:type="dxa"/>
              <w:bottom w:w="90" w:type="dxa"/>
              <w:right w:w="150" w:type="dxa"/>
            </w:tcMar>
            <w:vAlign w:val="bottom"/>
          </w:tcPr>
          <w:p>
            <w:pPr>
              <w:spacing w:line="312" w:lineRule="auto"/>
              <w:rPr>
                <w:color w:val="333333"/>
                <w:sz w:val="26"/>
                <w:szCs w:val="26"/>
              </w:rPr>
            </w:pPr>
            <w:r>
              <w:rPr>
                <w:color w:val="333333"/>
                <w:sz w:val="26"/>
                <w:szCs w:val="26"/>
              </w:rPr>
              <w:t>Không quy đổi</w:t>
            </w:r>
          </w:p>
        </w:tc>
      </w:tr>
    </w:tbl>
    <w:p>
      <w:pPr>
        <w:numPr>
          <w:ilvl w:val="0"/>
          <w:numId w:val="1"/>
        </w:numPr>
        <w:shd w:val="clear" w:color="auto" w:fill="F1F2F2"/>
        <w:spacing w:line="312" w:lineRule="auto"/>
        <w:textAlignment w:val="baseline"/>
        <w:rPr>
          <w:color w:val="333333"/>
          <w:sz w:val="26"/>
          <w:szCs w:val="26"/>
        </w:rPr>
      </w:pPr>
      <w:r>
        <w:rPr>
          <w:b/>
          <w:bCs/>
          <w:color w:val="333333"/>
          <w:sz w:val="26"/>
          <w:szCs w:val="26"/>
        </w:rPr>
        <w:t>Đăng ký xét tuyển:</w:t>
      </w:r>
      <w:r>
        <w:rPr>
          <w:color w:val="333333"/>
          <w:sz w:val="26"/>
          <w:szCs w:val="26"/>
        </w:rPr>
        <w:t> Thực hiện theo quy chế, kế hoạch và hướng dẫn tuyển sinh của Bộ GD&amp;ĐT ban hành năm 2022.</w:t>
      </w:r>
    </w:p>
    <w:bookmarkEnd w:id="1"/>
    <w:p>
      <w:pPr>
        <w:spacing w:line="312" w:lineRule="auto"/>
        <w:jc w:val="both"/>
        <w:rPr>
          <w:sz w:val="26"/>
          <w:szCs w:val="26"/>
        </w:rPr>
      </w:pPr>
      <w:bookmarkStart w:id="2" w:name="_GoBack"/>
      <w:bookmarkEnd w:id="2"/>
    </w:p>
    <w:sectPr>
      <w:footerReference r:id="rId3" w:type="default"/>
      <w:pgSz w:w="11906" w:h="16838"/>
      <w:pgMar w:top="720" w:right="851" w:bottom="900" w:left="1418" w:header="720" w:footer="18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Wingdings">
    <w:panose1 w:val="05000000000000000000"/>
    <w:charset w:val="4D"/>
    <w:family w:val="decorative"/>
    <w:pitch w:val="default"/>
    <w:sig w:usb0="00000000" w:usb1="00000000" w:usb2="00000000" w:usb3="00000000" w:csb0="80000000" w:csb1="00000000"/>
  </w:font>
  <w:font w:name="Times New Roman,Bold">
    <w:altName w:val="Yu Gothic"/>
    <w:panose1 w:val="0000080000000002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9312713"/>
      <w:docPartObj>
        <w:docPartGallery w:val="AutoText"/>
      </w:docPartObj>
    </w:sdtPr>
    <w:sdtContent>
      <w:p>
        <w:pPr>
          <w:pStyle w:val="2"/>
          <w:jc w:val="right"/>
        </w:pPr>
        <w:r>
          <w:fldChar w:fldCharType="begin"/>
        </w:r>
        <w:r>
          <w:instrText xml:space="preserve"> PAGE   \* MERGEFORMAT </w:instrText>
        </w:r>
        <w:r>
          <w:fldChar w:fldCharType="separate"/>
        </w:r>
        <w: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12DD5"/>
    <w:multiLevelType w:val="multilevel"/>
    <w:tmpl w:val="3AC12DD5"/>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A4"/>
    <w:rsid w:val="001D6EA4"/>
    <w:rsid w:val="008A4E95"/>
    <w:rsid w:val="1D404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680"/>
        <w:tab w:val="right" w:pos="9360"/>
      </w:tabs>
    </w:pPr>
  </w:style>
  <w:style w:type="paragraph" w:styleId="3">
    <w:name w:val="Normal (Web)"/>
    <w:basedOn w:val="1"/>
    <w:unhideWhenUsed/>
    <w:qFormat/>
    <w:uiPriority w:val="99"/>
    <w:pPr>
      <w:spacing w:before="100" w:beforeAutospacing="1" w:after="100" w:afterAutospacing="1"/>
    </w:pPr>
  </w:style>
  <w:style w:type="character" w:styleId="5">
    <w:name w:val="Hyperlink"/>
    <w:basedOn w:val="4"/>
    <w:semiHidden/>
    <w:unhideWhenUsed/>
    <w:uiPriority w:val="99"/>
    <w:rPr>
      <w:color w:val="0000FF"/>
      <w:u w:val="single"/>
    </w:rPr>
  </w:style>
  <w:style w:type="character" w:styleId="6">
    <w:name w:val="Strong"/>
    <w:basedOn w:val="4"/>
    <w:qFormat/>
    <w:uiPriority w:val="22"/>
    <w:rPr>
      <w:b/>
      <w:bCs/>
    </w:rPr>
  </w:style>
  <w:style w:type="character" w:customStyle="1" w:styleId="8">
    <w:name w:val="Footer Char"/>
    <w:basedOn w:val="4"/>
    <w:link w:val="2"/>
    <w:qFormat/>
    <w:uiPriority w:val="99"/>
    <w:rPr>
      <w:sz w:val="22"/>
      <w:szCs w:val="22"/>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1048</Words>
  <Characters>5980</Characters>
  <Lines>49</Lines>
  <Paragraphs>14</Paragraphs>
  <TotalTime>15</TotalTime>
  <ScaleCrop>false</ScaleCrop>
  <LinksUpToDate>false</LinksUpToDate>
  <CharactersWithSpaces>7014</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2022-09-15T11:13:00Z</dcterms:created>
  <dc:creator>Microsoft Office User</dc:creator>
  <cp:lastModifiedBy>myhang</cp:lastModifiedBy>
  <dcterms:modified xsi:type="dcterms:W3CDTF">2022-09-16T01:30:54Z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